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0A" w:rsidRDefault="007F4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Hello everyone, </w:t>
      </w:r>
    </w:p>
    <w:p w:rsidR="007F4E0A" w:rsidRDefault="007F4E0A">
      <w:pPr>
        <w:rPr>
          <w:rFonts w:ascii="Times New Roman" w:hAnsi="Times New Roman" w:cs="Times New Roman"/>
        </w:rPr>
      </w:pPr>
    </w:p>
    <w:p w:rsidR="004F709A" w:rsidRPr="00873F21" w:rsidRDefault="004F709A">
      <w:pPr>
        <w:rPr>
          <w:rFonts w:ascii="Times New Roman" w:hAnsi="Times New Roman" w:cs="Times New Roman"/>
        </w:rPr>
      </w:pPr>
      <w:r w:rsidRPr="00873F21">
        <w:rPr>
          <w:rFonts w:ascii="Times New Roman" w:hAnsi="Times New Roman" w:cs="Times New Roman"/>
        </w:rPr>
        <w:t xml:space="preserve">Here is a wrap up of market performance for the first half of 2020.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F709A" w:rsidRPr="00873F21" w:rsidTr="004F709A">
        <w:tc>
          <w:tcPr>
            <w:tcW w:w="0" w:type="auto"/>
            <w:tcBorders>
              <w:top w:val="single" w:sz="6" w:space="0" w:color="E6E6E6"/>
            </w:tcBorders>
            <w:vAlign w:val="center"/>
            <w:hideMark/>
          </w:tcPr>
          <w:p w:rsidR="004F709A" w:rsidRPr="00873F21" w:rsidRDefault="004F709A" w:rsidP="004F709A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3147"/>
              <w:gridCol w:w="3107"/>
            </w:tblGrid>
            <w:tr w:rsidR="004F709A" w:rsidRPr="00873F21" w:rsidTr="004F709A">
              <w:trPr>
                <w:jc w:val="center"/>
              </w:trPr>
              <w:tc>
                <w:tcPr>
                  <w:tcW w:w="2386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071866" w:rsidP="004F709A">
                  <w:pPr>
                    <w:spacing w:line="240" w:lineRule="atLeas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</w:t>
                  </w:r>
                  <w:r w:rsidR="004F709A" w:rsidRPr="00873F21">
                    <w:rPr>
                      <w:rFonts w:ascii="Times New Roman" w:hAnsi="Times New Roman" w:cs="Times New Roman"/>
                      <w:b/>
                      <w:bCs/>
                    </w:rPr>
                    <w:t>NASDAQ</w:t>
                  </w:r>
                </w:p>
              </w:tc>
              <w:tc>
                <w:tcPr>
                  <w:tcW w:w="3147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071866" w:rsidP="004F709A">
                  <w:pPr>
                    <w:spacing w:line="24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</w:t>
                  </w:r>
                  <w:r w:rsidR="004F709A" w:rsidRPr="00873F21">
                    <w:rPr>
                      <w:rFonts w:ascii="Times New Roman" w:hAnsi="Times New Roman" w:cs="Times New Roman"/>
                      <w:b/>
                      <w:bCs/>
                    </w:rPr>
                    <w:t>9,874.15</w:t>
                  </w:r>
                </w:p>
              </w:tc>
              <w:tc>
                <w:tcPr>
                  <w:tcW w:w="3107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071866" w:rsidP="004F709A">
                  <w:pPr>
                    <w:spacing w:line="24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00BE0F"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  <w:color w:val="00BE0F"/>
                    </w:rPr>
                    <w:t xml:space="preserve">  </w:t>
                  </w:r>
                  <w:r w:rsidR="004F709A" w:rsidRPr="00873F21">
                    <w:rPr>
                      <w:rFonts w:ascii="Times New Roman" w:hAnsi="Times New Roman" w:cs="Times New Roman"/>
                      <w:b/>
                      <w:bCs/>
                      <w:color w:val="00BE0F"/>
                    </w:rPr>
                    <w:t>+ 10.05%</w:t>
                  </w:r>
                </w:p>
              </w:tc>
            </w:tr>
          </w:tbl>
          <w:p w:rsidR="004F709A" w:rsidRPr="00873F21" w:rsidRDefault="004F709A" w:rsidP="004F709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F709A" w:rsidRPr="00873F21" w:rsidTr="004F709A">
        <w:tc>
          <w:tcPr>
            <w:tcW w:w="0" w:type="auto"/>
            <w:tcBorders>
              <w:top w:val="single" w:sz="6" w:space="0" w:color="E6E6E6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975"/>
              <w:gridCol w:w="2774"/>
              <w:gridCol w:w="2701"/>
            </w:tblGrid>
            <w:tr w:rsidR="004F709A" w:rsidRPr="00873F21">
              <w:trPr>
                <w:jc w:val="center"/>
              </w:trPr>
              <w:tc>
                <w:tcPr>
                  <w:tcW w:w="2000" w:type="dxa"/>
                  <w:tcMar>
                    <w:top w:w="105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</w:rPr>
                    <w:t>S&amp;P</w:t>
                  </w:r>
                </w:p>
              </w:tc>
              <w:tc>
                <w:tcPr>
                  <w:tcW w:w="41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</w:rPr>
                    <w:t>3,053.24</w:t>
                  </w:r>
                </w:p>
              </w:tc>
              <w:tc>
                <w:tcPr>
                  <w:tcW w:w="41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ED1C24"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  <w:color w:val="ED1C24"/>
                    </w:rPr>
                    <w:t>- 5.50%</w:t>
                  </w:r>
                </w:p>
              </w:tc>
            </w:tr>
          </w:tbl>
          <w:p w:rsidR="004F709A" w:rsidRPr="00873F21" w:rsidRDefault="004F709A" w:rsidP="004F709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F709A" w:rsidRPr="00873F21" w:rsidTr="004F709A">
        <w:tc>
          <w:tcPr>
            <w:tcW w:w="0" w:type="auto"/>
            <w:tcBorders>
              <w:top w:val="single" w:sz="6" w:space="0" w:color="E6E6E6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1979"/>
              <w:gridCol w:w="2786"/>
              <w:gridCol w:w="2710"/>
            </w:tblGrid>
            <w:tr w:rsidR="004F709A" w:rsidRPr="00873F21">
              <w:trPr>
                <w:jc w:val="center"/>
              </w:trPr>
              <w:tc>
                <w:tcPr>
                  <w:tcW w:w="2000" w:type="dxa"/>
                  <w:tcMar>
                    <w:top w:w="105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</w:rPr>
                    <w:t>DJIA</w:t>
                  </w:r>
                </w:p>
              </w:tc>
              <w:tc>
                <w:tcPr>
                  <w:tcW w:w="41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</w:rPr>
                    <w:t>25,595.80</w:t>
                  </w:r>
                </w:p>
              </w:tc>
              <w:tc>
                <w:tcPr>
                  <w:tcW w:w="41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ED1C24"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  <w:color w:val="ED1C24"/>
                    </w:rPr>
                    <w:t>- 10.31%</w:t>
                  </w:r>
                </w:p>
              </w:tc>
            </w:tr>
          </w:tbl>
          <w:p w:rsidR="004F709A" w:rsidRPr="00873F21" w:rsidRDefault="004F709A" w:rsidP="004F709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F709A" w:rsidRPr="00873F21" w:rsidTr="004F709A">
        <w:tc>
          <w:tcPr>
            <w:tcW w:w="0" w:type="auto"/>
            <w:tcBorders>
              <w:top w:val="single" w:sz="6" w:space="0" w:color="E6E6E6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2038"/>
              <w:gridCol w:w="2732"/>
              <w:gridCol w:w="2707"/>
            </w:tblGrid>
            <w:tr w:rsidR="004F709A" w:rsidRPr="00873F21">
              <w:trPr>
                <w:jc w:val="center"/>
              </w:trPr>
              <w:tc>
                <w:tcPr>
                  <w:tcW w:w="2000" w:type="dxa"/>
                  <w:tcMar>
                    <w:top w:w="105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</w:rPr>
                    <w:t>GOLD</w:t>
                  </w:r>
                </w:p>
              </w:tc>
              <w:tc>
                <w:tcPr>
                  <w:tcW w:w="41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</w:rPr>
                    <w:t>1,781.80</w:t>
                  </w:r>
                </w:p>
              </w:tc>
              <w:tc>
                <w:tcPr>
                  <w:tcW w:w="41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00BE0F"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  <w:color w:val="00BE0F"/>
                    </w:rPr>
                    <w:t>+ 17.22%</w:t>
                  </w:r>
                </w:p>
              </w:tc>
            </w:tr>
          </w:tbl>
          <w:p w:rsidR="004F709A" w:rsidRPr="00873F21" w:rsidRDefault="004F709A" w:rsidP="004F709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F709A" w:rsidRPr="00873F21" w:rsidTr="004F709A">
        <w:tc>
          <w:tcPr>
            <w:tcW w:w="0" w:type="auto"/>
            <w:tcBorders>
              <w:top w:val="single" w:sz="6" w:space="0" w:color="E6E6E6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2"/>
              <w:gridCol w:w="1899"/>
              <w:gridCol w:w="2722"/>
              <w:gridCol w:w="2847"/>
            </w:tblGrid>
            <w:tr w:rsidR="004F709A" w:rsidRPr="00873F21">
              <w:trPr>
                <w:jc w:val="center"/>
              </w:trPr>
              <w:tc>
                <w:tcPr>
                  <w:tcW w:w="2000" w:type="dxa"/>
                  <w:tcMar>
                    <w:top w:w="105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</w:rPr>
                    <w:t>10-YR</w:t>
                  </w:r>
                </w:p>
              </w:tc>
              <w:tc>
                <w:tcPr>
                  <w:tcW w:w="41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</w:rPr>
                    <w:t>0.634%</w:t>
                  </w:r>
                </w:p>
              </w:tc>
              <w:tc>
                <w:tcPr>
                  <w:tcW w:w="41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ED1C24"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  <w:color w:val="ED1C24"/>
                    </w:rPr>
                    <w:t>- 128.60 bps</w:t>
                  </w:r>
                </w:p>
              </w:tc>
            </w:tr>
          </w:tbl>
          <w:p w:rsidR="004F709A" w:rsidRPr="00873F21" w:rsidRDefault="004F709A" w:rsidP="004F709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F709A" w:rsidRPr="00873F21" w:rsidTr="004F709A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979"/>
              <w:gridCol w:w="2680"/>
              <w:gridCol w:w="2776"/>
            </w:tblGrid>
            <w:tr w:rsidR="004F709A" w:rsidRPr="00873F21">
              <w:trPr>
                <w:jc w:val="center"/>
              </w:trPr>
              <w:tc>
                <w:tcPr>
                  <w:tcW w:w="2000" w:type="dxa"/>
                  <w:tcMar>
                    <w:top w:w="105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</w:rPr>
                    <w:t>OIL</w:t>
                  </w:r>
                </w:p>
              </w:tc>
              <w:tc>
                <w:tcPr>
                  <w:tcW w:w="41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</w:rPr>
                    <w:t>39.24</w:t>
                  </w:r>
                </w:p>
              </w:tc>
              <w:tc>
                <w:tcPr>
                  <w:tcW w:w="410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709A" w:rsidRPr="00873F21" w:rsidRDefault="004F709A" w:rsidP="004F709A">
                  <w:pPr>
                    <w:spacing w:line="24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ED1C24"/>
                    </w:rPr>
                  </w:pPr>
                  <w:r w:rsidRPr="00873F21">
                    <w:rPr>
                      <w:rFonts w:ascii="Times New Roman" w:hAnsi="Times New Roman" w:cs="Times New Roman"/>
                      <w:b/>
                      <w:bCs/>
                      <w:color w:val="ED1C24"/>
                    </w:rPr>
                    <w:t>- 35.89%</w:t>
                  </w:r>
                </w:p>
              </w:tc>
            </w:tr>
          </w:tbl>
          <w:p w:rsidR="004F709A" w:rsidRPr="00873F21" w:rsidRDefault="004F709A" w:rsidP="004F709A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F709A" w:rsidRPr="00873F21" w:rsidTr="004F709A">
        <w:tc>
          <w:tcPr>
            <w:tcW w:w="0" w:type="auto"/>
            <w:tcMar>
              <w:top w:w="45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F709A" w:rsidRPr="00873F21" w:rsidRDefault="004F709A" w:rsidP="004F709A">
            <w:pPr>
              <w:spacing w:line="33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4F709A" w:rsidRPr="00873F21" w:rsidTr="004F709A">
        <w:tc>
          <w:tcPr>
            <w:tcW w:w="0" w:type="auto"/>
            <w:tcMar>
              <w:top w:w="0" w:type="dxa"/>
              <w:left w:w="75" w:type="dxa"/>
              <w:bottom w:w="0" w:type="dxa"/>
              <w:right w:w="225" w:type="dxa"/>
            </w:tcMar>
            <w:vAlign w:val="center"/>
            <w:hideMark/>
          </w:tcPr>
          <w:p w:rsidR="004F709A" w:rsidRPr="00873F21" w:rsidRDefault="004F709A" w:rsidP="00C973BC">
            <w:pPr>
              <w:numPr>
                <w:ilvl w:val="0"/>
                <w:numId w:val="1"/>
              </w:numPr>
              <w:spacing w:before="100" w:beforeAutospacing="1" w:after="120"/>
              <w:ind w:left="950"/>
              <w:rPr>
                <w:rFonts w:ascii="Times New Roman" w:eastAsia="Times New Roman" w:hAnsi="Times New Roman" w:cs="Times New Roman"/>
                <w:color w:val="333333"/>
              </w:rPr>
            </w:pPr>
            <w:r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Stocks: A global stock market crash on March 12 was the worst single-day decline for stocks since 1987. Since then, major indexes recovered their losses in one of the fastest recoveries in history on the promise of economic </w:t>
            </w:r>
            <w:proofErr w:type="spellStart"/>
            <w:r w:rsidRPr="00873F21">
              <w:rPr>
                <w:rFonts w:ascii="Times New Roman" w:eastAsia="Times New Roman" w:hAnsi="Times New Roman" w:cs="Times New Roman"/>
                <w:color w:val="333333"/>
              </w:rPr>
              <w:t>reopenings</w:t>
            </w:r>
            <w:proofErr w:type="spellEnd"/>
            <w:r w:rsidR="005A7B25"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 and Fed action</w:t>
            </w:r>
            <w:r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. In the process, the </w:t>
            </w:r>
            <w:r w:rsidR="007F4E0A">
              <w:rPr>
                <w:rFonts w:ascii="Times New Roman" w:eastAsia="Times New Roman" w:hAnsi="Times New Roman" w:cs="Times New Roman"/>
                <w:color w:val="333333"/>
              </w:rPr>
              <w:t xml:space="preserve">tech-heavy </w:t>
            </w:r>
            <w:proofErr w:type="spellStart"/>
            <w:r w:rsidRPr="00873F21">
              <w:rPr>
                <w:rFonts w:ascii="Times New Roman" w:eastAsia="Times New Roman" w:hAnsi="Times New Roman" w:cs="Times New Roman"/>
                <w:color w:val="333333"/>
              </w:rPr>
              <w:t>Nasdaq</w:t>
            </w:r>
            <w:proofErr w:type="spellEnd"/>
            <w:r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C973BC">
              <w:rPr>
                <w:rFonts w:ascii="Times New Roman" w:eastAsia="Times New Roman" w:hAnsi="Times New Roman" w:cs="Times New Roman"/>
                <w:color w:val="333333"/>
              </w:rPr>
              <w:t>separated</w:t>
            </w:r>
            <w:r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 itse</w:t>
            </w:r>
            <w:r w:rsidR="00C973BC">
              <w:rPr>
                <w:rFonts w:ascii="Times New Roman" w:eastAsia="Times New Roman" w:hAnsi="Times New Roman" w:cs="Times New Roman"/>
                <w:color w:val="333333"/>
              </w:rPr>
              <w:t xml:space="preserve">lf from the Dow and the S&amp;P. </w:t>
            </w:r>
            <w:r w:rsidRPr="00873F21">
              <w:rPr>
                <w:rFonts w:ascii="Times New Roman" w:eastAsia="Times New Roman" w:hAnsi="Times New Roman" w:cs="Times New Roman"/>
                <w:color w:val="333333"/>
              </w:rPr>
              <w:t>I would not be surprised to see the trend continue.</w:t>
            </w:r>
            <w:r w:rsidR="00C973BC">
              <w:rPr>
                <w:rFonts w:ascii="Times New Roman" w:eastAsia="Times New Roman" w:hAnsi="Times New Roman" w:cs="Times New Roman"/>
                <w:color w:val="333333"/>
              </w:rPr>
              <w:br/>
            </w:r>
          </w:p>
          <w:p w:rsidR="004F709A" w:rsidRPr="008E1A1C" w:rsidRDefault="004F709A" w:rsidP="00C973BC">
            <w:pPr>
              <w:pStyle w:val="ListParagraph"/>
              <w:numPr>
                <w:ilvl w:val="0"/>
                <w:numId w:val="1"/>
              </w:numPr>
              <w:spacing w:after="120"/>
              <w:ind w:left="945"/>
              <w:rPr>
                <w:rFonts w:ascii="Times New Roman" w:eastAsia="Times New Roman" w:hAnsi="Times New Roman" w:cs="Times New Roman"/>
                <w:color w:val="333333"/>
              </w:rPr>
            </w:pPr>
            <w:r w:rsidRPr="00873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Fed: </w:t>
            </w:r>
            <w:r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The Fed cut interest rates in March to offset </w:t>
            </w:r>
            <w:r w:rsidR="007F4E0A">
              <w:rPr>
                <w:rFonts w:ascii="Times New Roman" w:eastAsia="Times New Roman" w:hAnsi="Times New Roman" w:cs="Times New Roman"/>
                <w:color w:val="333333"/>
              </w:rPr>
              <w:t xml:space="preserve">enormous </w:t>
            </w:r>
            <w:r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damage to the economy and stated in early June it would hold rates near zero through 2022. </w:t>
            </w:r>
            <w:r w:rsidR="005A7B25" w:rsidRPr="008E1A1C">
              <w:rPr>
                <w:rFonts w:ascii="Times New Roman" w:eastAsia="Times New Roman" w:hAnsi="Times New Roman" w:cs="Times New Roman"/>
                <w:color w:val="333333"/>
              </w:rPr>
              <w:t>The average U.S. rate for a 30-year fixed mortgage fell to 3.23% this week, the lowest ever recorded by Freddie Mac in a series that goes back to 1971.</w:t>
            </w:r>
            <w:r w:rsidR="00171600" w:rsidRPr="008E1A1C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171600" w:rsidRPr="00873F21">
              <w:rPr>
                <w:rFonts w:ascii="Times New Roman" w:eastAsia="Times New Roman" w:hAnsi="Times New Roman" w:cs="Times New Roman"/>
                <w:color w:val="333333"/>
              </w:rPr>
              <w:t>I would not be surprised to see rates stay this low for 2 or possibly 3 years in order to reignite the housing market and the economy.</w:t>
            </w:r>
            <w:r w:rsidR="005A7B25" w:rsidRPr="008E1A1C">
              <w:rPr>
                <w:rFonts w:ascii="Times New Roman" w:eastAsia="Times New Roman" w:hAnsi="Times New Roman" w:cs="Times New Roman"/>
                <w:color w:val="333333"/>
              </w:rPr>
              <w:br/>
            </w:r>
          </w:p>
          <w:p w:rsidR="004F709A" w:rsidRDefault="004F709A" w:rsidP="00C973BC">
            <w:pPr>
              <w:numPr>
                <w:ilvl w:val="0"/>
                <w:numId w:val="1"/>
              </w:numPr>
              <w:spacing w:before="100" w:beforeAutospacing="1" w:after="120"/>
              <w:ind w:left="950"/>
              <w:rPr>
                <w:rFonts w:ascii="Times New Roman" w:eastAsia="Times New Roman" w:hAnsi="Times New Roman" w:cs="Times New Roman"/>
                <w:color w:val="333333"/>
              </w:rPr>
            </w:pPr>
            <w:r w:rsidRPr="00873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Oil: </w:t>
            </w:r>
            <w:r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In late April, oil prices sank to their lowest level since 1946 as plummeting demand from lockdowns </w:t>
            </w:r>
            <w:r w:rsidR="00071866" w:rsidRPr="00873F21">
              <w:rPr>
                <w:rFonts w:ascii="Times New Roman" w:eastAsia="Times New Roman" w:hAnsi="Times New Roman" w:cs="Times New Roman"/>
                <w:color w:val="333333"/>
              </w:rPr>
              <w:t>led to a stark</w:t>
            </w:r>
            <w:r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 oversupply. Since</w:t>
            </w:r>
            <w:r w:rsidR="00171600"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 then, prices have clawed </w:t>
            </w:r>
            <w:r w:rsidRPr="00873F21">
              <w:rPr>
                <w:rFonts w:ascii="Times New Roman" w:eastAsia="Times New Roman" w:hAnsi="Times New Roman" w:cs="Times New Roman"/>
                <w:color w:val="333333"/>
              </w:rPr>
              <w:t>their way back</w:t>
            </w:r>
            <w:r w:rsidR="00071866"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 somewhat</w:t>
            </w:r>
            <w:r w:rsidRPr="00873F21">
              <w:rPr>
                <w:rFonts w:ascii="Times New Roman" w:eastAsia="Times New Roman" w:hAnsi="Times New Roman" w:cs="Times New Roman"/>
                <w:color w:val="333333"/>
              </w:rPr>
              <w:t>. I w</w:t>
            </w:r>
            <w:r w:rsidR="00171600" w:rsidRPr="00873F21">
              <w:rPr>
                <w:rFonts w:ascii="Times New Roman" w:eastAsia="Times New Roman" w:hAnsi="Times New Roman" w:cs="Times New Roman"/>
                <w:color w:val="333333"/>
              </w:rPr>
              <w:t>ould not be surprised to see</w:t>
            </w:r>
            <w:r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 oil prices </w:t>
            </w:r>
            <w:r w:rsidR="00071866"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remain low </w:t>
            </w:r>
            <w:r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as the automobile industry is making a </w:t>
            </w:r>
            <w:r w:rsidR="00071866"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sharp turn toward electric cars and </w:t>
            </w:r>
            <w:r w:rsidR="00171600"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the American public is taking </w:t>
            </w:r>
            <w:r w:rsidR="00071866" w:rsidRPr="00873F21">
              <w:rPr>
                <w:rFonts w:ascii="Times New Roman" w:eastAsia="Times New Roman" w:hAnsi="Times New Roman" w:cs="Times New Roman"/>
                <w:color w:val="333333"/>
              </w:rPr>
              <w:t>climate control</w:t>
            </w:r>
            <w:r w:rsidR="00171600" w:rsidRPr="00873F21">
              <w:rPr>
                <w:rFonts w:ascii="Times New Roman" w:eastAsia="Times New Roman" w:hAnsi="Times New Roman" w:cs="Times New Roman"/>
                <w:color w:val="333333"/>
              </w:rPr>
              <w:t xml:space="preserve"> seriously.</w:t>
            </w:r>
          </w:p>
          <w:p w:rsidR="00A13FDB" w:rsidRPr="00A13FDB" w:rsidRDefault="00A13FDB" w:rsidP="00A13FDB">
            <w:pPr>
              <w:pStyle w:val="ListParagraph"/>
              <w:numPr>
                <w:ilvl w:val="0"/>
                <w:numId w:val="1"/>
              </w:numPr>
              <w:ind w:left="950"/>
              <w:rPr>
                <w:rFonts w:ascii="Times New Roman" w:eastAsia="Times New Roman" w:hAnsi="Times New Roman" w:cs="Times New Roman"/>
                <w:color w:val="333333"/>
              </w:rPr>
            </w:pPr>
            <w:r w:rsidRPr="00A13F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 Economy:</w:t>
            </w:r>
            <w:r w:rsidRPr="00A13FDB">
              <w:rPr>
                <w:rFonts w:ascii="Times New Roman" w:eastAsia="Times New Roman" w:hAnsi="Times New Roman" w:cs="Times New Roman"/>
                <w:color w:val="333333"/>
              </w:rPr>
              <w:t xml:space="preserve"> After a 4.9 percent decline in 2020, the International M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onetary Fund is projecting economic growth at 5.4 percent for 2021l led by t</w:t>
            </w:r>
            <w:r w:rsidRPr="00A13FDB">
              <w:rPr>
                <w:rFonts w:ascii="Times New Roman" w:eastAsia="Times New Roman" w:hAnsi="Times New Roman" w:cs="Times New Roman"/>
                <w:color w:val="333333"/>
              </w:rPr>
              <w:t>he US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A</w:t>
            </w:r>
            <w:bookmarkStart w:id="0" w:name="_GoBack"/>
            <w:bookmarkEnd w:id="0"/>
            <w:r w:rsidRPr="00A13FDB">
              <w:rPr>
                <w:rFonts w:ascii="Times New Roman" w:eastAsia="Times New Roman" w:hAnsi="Times New Roman" w:cs="Times New Roman"/>
                <w:color w:val="333333"/>
              </w:rPr>
              <w:t>. Advanced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communications </w:t>
            </w:r>
            <w:r w:rsidRPr="00A13FDB">
              <w:rPr>
                <w:rFonts w:ascii="Times New Roman" w:eastAsia="Times New Roman" w:hAnsi="Times New Roman" w:cs="Times New Roman"/>
                <w:color w:val="333333"/>
              </w:rPr>
              <w:t xml:space="preserve">technology allowed many workplaces (including CIM) to work remotely. I believe it worked well for us although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it was strange seeing </w:t>
            </w:r>
            <w:r w:rsidRPr="00A13FDB">
              <w:rPr>
                <w:rFonts w:ascii="Times New Roman" w:eastAsia="Times New Roman" w:hAnsi="Times New Roman" w:cs="Times New Roman"/>
                <w:color w:val="333333"/>
              </w:rPr>
              <w:t>our office sit empty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 Thankfully, we are all safe</w:t>
            </w:r>
            <w:r w:rsidRPr="00A13FDB">
              <w:rPr>
                <w:rFonts w:ascii="Times New Roman" w:eastAsia="Times New Roman" w:hAnsi="Times New Roman" w:cs="Times New Roman"/>
                <w:color w:val="333333"/>
              </w:rPr>
              <w:t>. </w:t>
            </w:r>
          </w:p>
          <w:p w:rsidR="004F709A" w:rsidRPr="00873F21" w:rsidRDefault="00A13FDB" w:rsidP="00A13FDB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2Q20 reports coming shortly. Kim, June, Justin and I</w:t>
            </w:r>
            <w:r w:rsidR="007F4E0A">
              <w:rPr>
                <w:rFonts w:ascii="Times New Roman" w:eastAsia="Times New Roman" w:hAnsi="Times New Roman" w:cs="Times New Roman"/>
                <w:color w:val="333333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diligently </w:t>
            </w:r>
            <w:r w:rsidR="007F4E0A">
              <w:rPr>
                <w:rFonts w:ascii="Times New Roman" w:eastAsia="Times New Roman" w:hAnsi="Times New Roman" w:cs="Times New Roman"/>
                <w:color w:val="333333"/>
              </w:rPr>
              <w:t>w</w:t>
            </w:r>
            <w:r w:rsidR="00CE016A">
              <w:rPr>
                <w:rFonts w:ascii="Times New Roman" w:eastAsia="Times New Roman" w:hAnsi="Times New Roman" w:cs="Times New Roman"/>
                <w:color w:val="333333"/>
              </w:rPr>
              <w:t>orking on them now.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171600" w:rsidRPr="00873F21">
              <w:rPr>
                <w:rFonts w:ascii="Times New Roman" w:eastAsia="Times New Roman" w:hAnsi="Times New Roman" w:cs="Times New Roman"/>
                <w:color w:val="333333"/>
              </w:rPr>
              <w:t>REC, July 1, 2020.</w:t>
            </w:r>
          </w:p>
        </w:tc>
      </w:tr>
    </w:tbl>
    <w:p w:rsidR="00182922" w:rsidRPr="00873F21" w:rsidRDefault="00182922">
      <w:pPr>
        <w:rPr>
          <w:rFonts w:ascii="Times New Roman" w:hAnsi="Times New Roman" w:cs="Times New Roman"/>
        </w:rPr>
      </w:pPr>
    </w:p>
    <w:sectPr w:rsidR="00182922" w:rsidRPr="00873F21" w:rsidSect="00C973B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6F9A"/>
    <w:multiLevelType w:val="multilevel"/>
    <w:tmpl w:val="89BA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A"/>
    <w:rsid w:val="00071866"/>
    <w:rsid w:val="00171600"/>
    <w:rsid w:val="00182922"/>
    <w:rsid w:val="004F709A"/>
    <w:rsid w:val="005A7B25"/>
    <w:rsid w:val="007F4E0A"/>
    <w:rsid w:val="00873F21"/>
    <w:rsid w:val="008E1A1C"/>
    <w:rsid w:val="00A13FDB"/>
    <w:rsid w:val="00C973BC"/>
    <w:rsid w:val="00C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0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205794206016324880change-positive">
    <w:name w:val="m_6205794206016324880change-positive"/>
    <w:basedOn w:val="Normal"/>
    <w:rsid w:val="004F70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205794206016324880change-negative">
    <w:name w:val="m_6205794206016324880change-negative"/>
    <w:basedOn w:val="Normal"/>
    <w:rsid w:val="004F70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F709A"/>
    <w:rPr>
      <w:b/>
      <w:bCs/>
    </w:rPr>
  </w:style>
  <w:style w:type="paragraph" w:styleId="ListParagraph">
    <w:name w:val="List Paragraph"/>
    <w:basedOn w:val="Normal"/>
    <w:uiPriority w:val="34"/>
    <w:qFormat/>
    <w:rsid w:val="005A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0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205794206016324880change-positive">
    <w:name w:val="m_6205794206016324880change-positive"/>
    <w:basedOn w:val="Normal"/>
    <w:rsid w:val="004F70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205794206016324880change-negative">
    <w:name w:val="m_6205794206016324880change-negative"/>
    <w:basedOn w:val="Normal"/>
    <w:rsid w:val="004F70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F709A"/>
    <w:rPr>
      <w:b/>
      <w:bCs/>
    </w:rPr>
  </w:style>
  <w:style w:type="paragraph" w:styleId="ListParagraph">
    <w:name w:val="List Paragraph"/>
    <w:basedOn w:val="Normal"/>
    <w:uiPriority w:val="34"/>
    <w:qFormat/>
    <w:rsid w:val="005A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1661</Characters>
  <Application>Microsoft Macintosh Word</Application>
  <DocSecurity>0</DocSecurity>
  <Lines>13</Lines>
  <Paragraphs>3</Paragraphs>
  <ScaleCrop>false</ScaleCrop>
  <Company>Copley Investment Management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Copley</dc:creator>
  <cp:keywords/>
  <dc:description/>
  <cp:lastModifiedBy>Ronald Copley</cp:lastModifiedBy>
  <cp:revision>2</cp:revision>
  <dcterms:created xsi:type="dcterms:W3CDTF">2020-07-01T11:54:00Z</dcterms:created>
  <dcterms:modified xsi:type="dcterms:W3CDTF">2020-07-01T11:54:00Z</dcterms:modified>
</cp:coreProperties>
</file>